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6382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7F67A4">
        <w:rPr>
          <w:rFonts w:ascii="Arial" w:hAnsi="Arial" w:cs="Arial"/>
          <w:bCs/>
          <w:sz w:val="20"/>
        </w:rPr>
      </w:r>
      <w:r w:rsidR="007F67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7F67A4">
        <w:rPr>
          <w:rFonts w:ascii="Arial" w:hAnsi="Arial" w:cs="Arial"/>
          <w:bCs/>
          <w:sz w:val="20"/>
        </w:rPr>
      </w:r>
      <w:r w:rsidR="007F67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7F67A4">
        <w:rPr>
          <w:rFonts w:ascii="Arial" w:hAnsi="Arial" w:cs="Arial"/>
          <w:bCs/>
          <w:sz w:val="20"/>
        </w:rPr>
      </w:r>
      <w:r w:rsidR="007F67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7F67A4">
        <w:rPr>
          <w:rFonts w:ascii="Arial" w:hAnsi="Arial" w:cs="Arial"/>
          <w:bCs/>
          <w:sz w:val="20"/>
        </w:rPr>
      </w:r>
      <w:r w:rsidR="007F67A4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9B2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5432D" w14:textId="77777777" w:rsidR="009B21C4" w:rsidRDefault="009B21C4" w:rsidP="00D57E01">
      <w:r>
        <w:separator/>
      </w:r>
    </w:p>
  </w:endnote>
  <w:endnote w:type="continuationSeparator" w:id="0">
    <w:p w14:paraId="0B3297EC" w14:textId="77777777" w:rsidR="009B21C4" w:rsidRDefault="009B21C4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1D13E" w14:textId="77777777" w:rsidR="007F67A4" w:rsidRDefault="007F67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BA408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197A9" w14:textId="7D07002F" w:rsidR="00332236" w:rsidRPr="00915860" w:rsidRDefault="00006DB4" w:rsidP="00332236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895CCAD" wp14:editId="43A71CC1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Stopka"/>
    </w:pPr>
  </w:p>
  <w:p w14:paraId="1190C1C3" w14:textId="77777777" w:rsidR="00A732BC" w:rsidRDefault="00A73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E00F8" w14:textId="77777777" w:rsidR="009B21C4" w:rsidRDefault="009B21C4" w:rsidP="00D57E01">
      <w:r>
        <w:separator/>
      </w:r>
    </w:p>
  </w:footnote>
  <w:footnote w:type="continuationSeparator" w:id="0">
    <w:p w14:paraId="14BC1085" w14:textId="77777777" w:rsidR="009B21C4" w:rsidRDefault="009B21C4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E09A7" w14:textId="77777777" w:rsidR="007F67A4" w:rsidRDefault="007F67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8D36" w14:textId="77777777" w:rsidR="007F67A4" w:rsidRDefault="007F67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B798C" w14:textId="3AAC9C6D" w:rsidR="00006DB4" w:rsidRDefault="00006DB4" w:rsidP="00006DB4">
    <w:pPr>
      <w:pStyle w:val="Nagwek"/>
      <w:jc w:val="right"/>
      <w:rPr>
        <w:rFonts w:ascii="Calibri" w:hAnsi="Calibri"/>
        <w:b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46E5F40" wp14:editId="004820BA">
          <wp:simplePos x="0" y="0"/>
          <wp:positionH relativeFrom="column">
            <wp:posOffset>3140710</wp:posOffset>
          </wp:positionH>
          <wp:positionV relativeFrom="paragraph">
            <wp:posOffset>0</wp:posOffset>
          </wp:positionV>
          <wp:extent cx="777240" cy="315595"/>
          <wp:effectExtent l="0" t="0" r="0" b="0"/>
          <wp:wrapSquare wrapText="bothSides"/>
          <wp:docPr id="5" name="Obraz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8CF0E05" wp14:editId="2909018C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597549831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45A696" id="Freeform 2" o:spid="_x0000_s1026" style="position:absolute;margin-left:598.2pt;margin-top:215.3pt;width:0;height:4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A598D7D" wp14:editId="0238DB04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5715" t="10160" r="13335" b="9525"/>
              <wp:wrapNone/>
              <wp:docPr id="858940237" name="object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039FC8" id="object 190" o:spid="_x0000_s1026" style="position:absolute;margin-left:598.2pt;margin-top:215.3pt;width:0;height:4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="00874416" w:rsidRPr="000B60FA">
      <w:rPr>
        <w:lang w:val="pl-PL"/>
      </w:rPr>
      <w:t xml:space="preserve"> </w:t>
    </w:r>
  </w:p>
  <w:p w14:paraId="686C5915" w14:textId="31D16556" w:rsidR="00874416" w:rsidRDefault="007F67A4" w:rsidP="007F67A4">
    <w:pPr>
      <w:pStyle w:val="Nagwek"/>
      <w:jc w:val="right"/>
      <w:rPr>
        <w:rFonts w:ascii="Arial" w:hAnsi="Arial" w:cs="Arial"/>
        <w:sz w:val="20"/>
        <w:lang w:val="pl-PL"/>
      </w:rPr>
    </w:pPr>
    <w:r>
      <w:rPr>
        <w:noProof/>
      </w:rPr>
      <w:drawing>
        <wp:inline distT="0" distB="0" distL="0" distR="0" wp14:anchorId="69368533" wp14:editId="6BA0F6ED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276">
    <w:abstractNumId w:val="2"/>
  </w:num>
  <w:num w:numId="2" w16cid:durableId="284508467">
    <w:abstractNumId w:val="1"/>
  </w:num>
  <w:num w:numId="3" w16cid:durableId="728773092">
    <w:abstractNumId w:val="3"/>
  </w:num>
  <w:num w:numId="4" w16cid:durableId="162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06DB4"/>
    <w:rsid w:val="000114EA"/>
    <w:rsid w:val="000156BA"/>
    <w:rsid w:val="00026E39"/>
    <w:rsid w:val="0003403C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1F3EDD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2F3C69"/>
    <w:rsid w:val="00326362"/>
    <w:rsid w:val="00332236"/>
    <w:rsid w:val="00375302"/>
    <w:rsid w:val="003A0E0B"/>
    <w:rsid w:val="003C0BC1"/>
    <w:rsid w:val="0041733E"/>
    <w:rsid w:val="00437372"/>
    <w:rsid w:val="004460B7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7F67A4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B21C4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638A5"/>
    <w:rsid w:val="00E80CEF"/>
    <w:rsid w:val="00EA22E6"/>
    <w:rsid w:val="00EE73B8"/>
    <w:rsid w:val="00F24332"/>
    <w:rsid w:val="00F419BA"/>
    <w:rsid w:val="00F841B3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BIURO 2</cp:lastModifiedBy>
  <cp:revision>3</cp:revision>
  <cp:lastPrinted>2022-12-15T08:50:00Z</cp:lastPrinted>
  <dcterms:created xsi:type="dcterms:W3CDTF">2024-04-04T11:20:00Z</dcterms:created>
  <dcterms:modified xsi:type="dcterms:W3CDTF">2024-04-29T11:49:00Z</dcterms:modified>
</cp:coreProperties>
</file>